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20B" w:rsidRDefault="0098520B" w:rsidP="0098520B">
      <w:pPr>
        <w:spacing w:after="0"/>
      </w:pPr>
      <w:r w:rsidRPr="00776416">
        <w:rPr>
          <w:noProof/>
          <w:lang w:val="en-GB" w:eastAsia="en-GB"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21C71742" w:rsidRPr="00D13AD4" w:rsidRDefault="259746BC" w:rsidP="00B3690F">
      <w:pPr>
        <w:pStyle w:val="Title"/>
        <w:rPr>
          <w:sz w:val="48"/>
          <w:szCs w:val="48"/>
        </w:rPr>
      </w:pPr>
      <w:r w:rsidRPr="00D13AD4">
        <w:rPr>
          <w:sz w:val="48"/>
          <w:szCs w:val="48"/>
        </w:rPr>
        <w:t xml:space="preserve">Wk 2: </w:t>
      </w:r>
      <w:r w:rsidR="001550E1" w:rsidRPr="00D13AD4">
        <w:rPr>
          <w:sz w:val="48"/>
          <w:szCs w:val="48"/>
        </w:rPr>
        <w:t>Data Visualization Types Worksheet</w:t>
      </w:r>
    </w:p>
    <w:p w:rsidR="003E5B14" w:rsidRPr="00E25B97" w:rsidRDefault="00E25B97" w:rsidP="00D13AD4">
      <w:pPr>
        <w:spacing w:before="240"/>
      </w:pPr>
      <w:r>
        <w:rPr>
          <w:b/>
          <w:bCs/>
        </w:rPr>
        <w:t xml:space="preserve">Write </w:t>
      </w:r>
      <w:r>
        <w:t xml:space="preserve">a 50- to 100-word explanation for each box. </w:t>
      </w:r>
    </w:p>
    <w:tbl>
      <w:tblPr>
        <w:tblStyle w:val="TableGrid"/>
        <w:tblW w:w="0" w:type="auto"/>
        <w:tblBorders>
          <w:top w:val="single" w:sz="4" w:space="0" w:color="808080" w:themeColor="accent2"/>
          <w:left w:val="single" w:sz="4" w:space="0" w:color="808080" w:themeColor="accent2"/>
          <w:bottom w:val="single" w:sz="4" w:space="0" w:color="808080" w:themeColor="accent2"/>
          <w:right w:val="single" w:sz="4" w:space="0" w:color="808080" w:themeColor="accent2"/>
          <w:insideH w:val="single" w:sz="4" w:space="0" w:color="808080" w:themeColor="accent2"/>
          <w:insideV w:val="single" w:sz="4" w:space="0" w:color="808080" w:themeColor="accent2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337"/>
        <w:gridCol w:w="2968"/>
        <w:gridCol w:w="3960"/>
      </w:tblGrid>
      <w:tr w:rsidR="00251361" w:rsidRPr="00776416" w:rsidTr="00D13AD4">
        <w:trPr>
          <w:tblHeader/>
        </w:trPr>
        <w:tc>
          <w:tcPr>
            <w:tcW w:w="2337" w:type="dxa"/>
            <w:shd w:val="clear" w:color="auto" w:fill="EDEDED" w:themeFill="accent5"/>
            <w:vAlign w:val="center"/>
          </w:tcPr>
          <w:p w:rsidR="00251361" w:rsidRPr="00776416" w:rsidRDefault="00251361" w:rsidP="00D13AD4">
            <w:pPr>
              <w:spacing w:after="0"/>
              <w:jc w:val="center"/>
            </w:pPr>
            <w:r w:rsidRPr="00C11EBE">
              <w:t>Data Source</w:t>
            </w:r>
          </w:p>
        </w:tc>
        <w:tc>
          <w:tcPr>
            <w:tcW w:w="2968" w:type="dxa"/>
            <w:shd w:val="clear" w:color="auto" w:fill="EDEDED" w:themeFill="accent5"/>
            <w:vAlign w:val="center"/>
          </w:tcPr>
          <w:p w:rsidR="00251361" w:rsidRPr="00776416" w:rsidRDefault="00251361" w:rsidP="00D13AD4">
            <w:pPr>
              <w:spacing w:after="0"/>
              <w:jc w:val="center"/>
            </w:pPr>
            <w:r w:rsidRPr="00C11EBE">
              <w:t>What type of data is reflected in the chart? How do you know?</w:t>
            </w:r>
          </w:p>
        </w:tc>
        <w:tc>
          <w:tcPr>
            <w:tcW w:w="3960" w:type="dxa"/>
            <w:shd w:val="clear" w:color="auto" w:fill="EDEDED" w:themeFill="accent5"/>
            <w:vAlign w:val="center"/>
          </w:tcPr>
          <w:p w:rsidR="00251361" w:rsidRPr="00776416" w:rsidRDefault="00251361" w:rsidP="00D13AD4">
            <w:pPr>
              <w:spacing w:after="0"/>
              <w:jc w:val="center"/>
            </w:pPr>
            <w:r w:rsidRPr="00C11EBE">
              <w:t>What does the chart help show you about the data?</w:t>
            </w:r>
          </w:p>
        </w:tc>
      </w:tr>
      <w:tr w:rsidR="00D23571" w:rsidRPr="00776416" w:rsidTr="00D13AD4">
        <w:tc>
          <w:tcPr>
            <w:tcW w:w="2337" w:type="dxa"/>
            <w:shd w:val="clear" w:color="auto" w:fill="auto"/>
          </w:tcPr>
          <w:p w:rsidR="00D23571" w:rsidRPr="00C12D77" w:rsidRDefault="00D23571" w:rsidP="00D23571">
            <w:pPr>
              <w:pStyle w:val="TableText"/>
            </w:pPr>
            <w:r w:rsidRPr="003D07B8">
              <w:t>Survey</w:t>
            </w:r>
          </w:p>
        </w:tc>
        <w:tc>
          <w:tcPr>
            <w:tcW w:w="2968" w:type="dxa"/>
            <w:shd w:val="clear" w:color="auto" w:fill="auto"/>
          </w:tcPr>
          <w:p w:rsidR="00D23571" w:rsidRPr="00776416" w:rsidRDefault="00A70AE5" w:rsidP="00D23571">
            <w:pPr>
              <w:pStyle w:val="TableText"/>
            </w:pPr>
            <w:r>
              <w:t xml:space="preserve">The survey shows data on the performance of the various employee from the basis of their scores and contribution to the business. </w:t>
            </w:r>
            <w:r w:rsidR="000D2BB1">
              <w:t xml:space="preserve">A minimal of 1 employee performed dismally whereas about 24 employees had a score of above 58.4% but less than 70%. </w:t>
            </w:r>
          </w:p>
        </w:tc>
        <w:tc>
          <w:tcPr>
            <w:tcW w:w="3960" w:type="dxa"/>
            <w:shd w:val="clear" w:color="auto" w:fill="auto"/>
          </w:tcPr>
          <w:p w:rsidR="00D23571" w:rsidRDefault="000D2BB1" w:rsidP="00D23571">
            <w:pPr>
              <w:pStyle w:val="TableText"/>
            </w:pPr>
            <w:r>
              <w:t>The chart shows a disparity in the performance of the employees compared to that of the management.</w:t>
            </w:r>
          </w:p>
          <w:p w:rsidR="000D2BB1" w:rsidRPr="00776416" w:rsidRDefault="000D2BB1" w:rsidP="00D23571">
            <w:pPr>
              <w:pStyle w:val="TableText"/>
            </w:pPr>
            <w:r>
              <w:t xml:space="preserve">Most employees had a score of 46.8% and above. Managers scored higher on operational capabilities according to the survey </w:t>
            </w:r>
            <w:r w:rsidR="000361E6">
              <w:t xml:space="preserve">averaging at approximately 60%. Overall the chart shows that </w:t>
            </w:r>
            <w:r w:rsidR="002669FA">
              <w:t xml:space="preserve">managers performed better than employees. </w:t>
            </w:r>
          </w:p>
        </w:tc>
      </w:tr>
      <w:tr w:rsidR="00D23571" w:rsidRPr="00776416" w:rsidTr="00D13AD4">
        <w:tc>
          <w:tcPr>
            <w:tcW w:w="2337" w:type="dxa"/>
            <w:shd w:val="clear" w:color="auto" w:fill="auto"/>
          </w:tcPr>
          <w:p w:rsidR="00D23571" w:rsidRPr="00776416" w:rsidRDefault="00D23571" w:rsidP="00D23571">
            <w:pPr>
              <w:pStyle w:val="TableText"/>
            </w:pPr>
            <w:r w:rsidRPr="003D07B8">
              <w:t>Cost</w:t>
            </w:r>
          </w:p>
        </w:tc>
        <w:tc>
          <w:tcPr>
            <w:tcW w:w="2968" w:type="dxa"/>
            <w:shd w:val="clear" w:color="auto" w:fill="auto"/>
          </w:tcPr>
          <w:p w:rsidR="00D23571" w:rsidRPr="00776416" w:rsidRDefault="002669FA" w:rsidP="00D23571">
            <w:pPr>
              <w:pStyle w:val="TableText"/>
            </w:pPr>
            <w:r>
              <w:t xml:space="preserve">The chart shows two type of data. Firstly, </w:t>
            </w:r>
            <w:r w:rsidR="00A058B7">
              <w:t xml:space="preserve">total cost per employee which increases exponentially. Secondly, the graph also shows hourly cost per employee which in maintained at a minimal throughout. </w:t>
            </w:r>
            <w:r w:rsidR="00EB54ED">
              <w:t>The graph also reveals that the company/business has around 40 employees a</w:t>
            </w:r>
            <w:r w:rsidR="00E35113">
              <w:t xml:space="preserve">nd a maximum budget of $400.00, which translates to approximately $10.00 per employee. </w:t>
            </w:r>
          </w:p>
        </w:tc>
        <w:tc>
          <w:tcPr>
            <w:tcW w:w="3960" w:type="dxa"/>
            <w:shd w:val="clear" w:color="auto" w:fill="auto"/>
          </w:tcPr>
          <w:p w:rsidR="00D23571" w:rsidRPr="00776416" w:rsidRDefault="00E35113" w:rsidP="00D23571">
            <w:pPr>
              <w:pStyle w:val="TableText"/>
            </w:pPr>
            <w:r>
              <w:t xml:space="preserve">The data shows that cost increased exponentially with increasing number of employees. </w:t>
            </w:r>
            <w:r w:rsidR="00D60D26">
              <w:t xml:space="preserve">The approximate cost of professional development of employees was $10.00 per employee at the start of the evaluation. However, when it reached 40 employees, the cumulative cost is slightly shy of </w:t>
            </w:r>
            <w:r w:rsidR="00CE5659">
              <w:t xml:space="preserve">the </w:t>
            </w:r>
            <w:r w:rsidR="00D60D26">
              <w:t xml:space="preserve">$400.00 mark. Nevertheless, it is imperative to note that the graph generated a straight line, thus the gradient is the approximate cost of professional development of a single employee. </w:t>
            </w:r>
          </w:p>
        </w:tc>
      </w:tr>
      <w:tr w:rsidR="00D23571" w:rsidRPr="00776416" w:rsidTr="00D13AD4">
        <w:tc>
          <w:tcPr>
            <w:tcW w:w="2337" w:type="dxa"/>
            <w:shd w:val="clear" w:color="auto" w:fill="auto"/>
          </w:tcPr>
          <w:p w:rsidR="00D23571" w:rsidRPr="00776416" w:rsidRDefault="00D23571" w:rsidP="00D23571">
            <w:pPr>
              <w:pStyle w:val="TableText"/>
            </w:pPr>
            <w:r w:rsidRPr="003D07B8">
              <w:t>Modality</w:t>
            </w:r>
          </w:p>
        </w:tc>
        <w:tc>
          <w:tcPr>
            <w:tcW w:w="2968" w:type="dxa"/>
            <w:shd w:val="clear" w:color="auto" w:fill="auto"/>
          </w:tcPr>
          <w:p w:rsidR="00D23571" w:rsidRPr="00776416" w:rsidRDefault="00CB7E44" w:rsidP="00D23571">
            <w:pPr>
              <w:pStyle w:val="TableText"/>
            </w:pPr>
            <w:r>
              <w:t>The pie charts show how the services were delivered to the customers. The 1</w:t>
            </w:r>
            <w:r w:rsidRPr="00CB7E44">
              <w:rPr>
                <w:vertAlign w:val="superscript"/>
              </w:rPr>
              <w:t>st</w:t>
            </w:r>
            <w:r>
              <w:t xml:space="preserve"> pie chart divides services delivery on the basis of online, hybrid and in person. The 2</w:t>
            </w:r>
            <w:r w:rsidRPr="00CB7E44">
              <w:rPr>
                <w:vertAlign w:val="superscript"/>
              </w:rPr>
              <w:t>nd</w:t>
            </w:r>
            <w:r>
              <w:t xml:space="preserve"> pie chart shows synchronous and asynchronous delivery method. Cumulatively, these data are also used on the bar graph, showing online, in person, hybrid deliveries done either synchronous or asynchronous.  </w:t>
            </w:r>
          </w:p>
        </w:tc>
        <w:tc>
          <w:tcPr>
            <w:tcW w:w="3960" w:type="dxa"/>
            <w:shd w:val="clear" w:color="auto" w:fill="auto"/>
          </w:tcPr>
          <w:p w:rsidR="00D23571" w:rsidRPr="00776416" w:rsidRDefault="00B0187E" w:rsidP="00D23571">
            <w:pPr>
              <w:pStyle w:val="TableText"/>
            </w:pPr>
            <w:r>
              <w:t>The deliveries are categorized broadly as either synchronous or asynchronous</w:t>
            </w:r>
            <w:r w:rsidR="0031755A">
              <w:t xml:space="preserve"> methods</w:t>
            </w:r>
            <w:r>
              <w:t xml:space="preserve">. </w:t>
            </w:r>
            <w:r w:rsidR="00CE5659">
              <w:t xml:space="preserve">The former is denoted as blue and the latter as orange. Synchronous deliveries account for 32% of total deliveries whereas 68% are asynchronous. </w:t>
            </w:r>
            <w:r w:rsidR="00944311">
              <w:t>40% deliveries were done in person, 36% through online means and 24% involved a hybrid sys</w:t>
            </w:r>
            <w:bookmarkStart w:id="0" w:name="_GoBack"/>
            <w:bookmarkEnd w:id="0"/>
            <w:r w:rsidR="00944311">
              <w:t xml:space="preserve">tem. </w:t>
            </w:r>
          </w:p>
        </w:tc>
      </w:tr>
    </w:tbl>
    <w:p w:rsidR="0098520B" w:rsidRPr="00D2123C" w:rsidRDefault="00C12D77" w:rsidP="00853508">
      <w:pPr>
        <w:spacing w:before="240"/>
      </w:pPr>
      <w:r>
        <w:t xml:space="preserve"> </w:t>
      </w:r>
    </w:p>
    <w:sectPr w:rsidR="0098520B" w:rsidRPr="00D2123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64A" w:rsidRDefault="0089764A" w:rsidP="000F0903">
      <w:pPr>
        <w:spacing w:after="0"/>
      </w:pPr>
      <w:r>
        <w:separator/>
      </w:r>
    </w:p>
  </w:endnote>
  <w:endnote w:type="continuationSeparator" w:id="0">
    <w:p w:rsidR="0089764A" w:rsidRDefault="0089764A" w:rsidP="000F0903">
      <w:pPr>
        <w:spacing w:after="0"/>
      </w:pPr>
      <w:r>
        <w:continuationSeparator/>
      </w:r>
    </w:p>
  </w:endnote>
  <w:endnote w:type="continuationNotice" w:id="1">
    <w:p w:rsidR="0089764A" w:rsidRDefault="0089764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D646A7">
      <w:rPr>
        <w:sz w:val="16"/>
        <w:szCs w:val="16"/>
      </w:rPr>
      <w:t>2020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D9" w:rsidRPr="00B9595A" w:rsidRDefault="3A977CEC" w:rsidP="184C0106">
    <w:pPr>
      <w:pStyle w:val="Footer"/>
      <w:jc w:val="center"/>
      <w:rPr>
        <w:sz w:val="16"/>
        <w:szCs w:val="16"/>
      </w:rPr>
    </w:pPr>
    <w:r w:rsidRPr="3A977CEC">
      <w:rPr>
        <w:sz w:val="16"/>
        <w:szCs w:val="16"/>
      </w:rPr>
      <w:t>Copyright 2020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64A" w:rsidRDefault="0089764A" w:rsidP="000F0903">
      <w:pPr>
        <w:spacing w:after="0"/>
      </w:pPr>
      <w:r>
        <w:separator/>
      </w:r>
    </w:p>
  </w:footnote>
  <w:footnote w:type="continuationSeparator" w:id="0">
    <w:p w:rsidR="0089764A" w:rsidRDefault="0089764A" w:rsidP="000F0903">
      <w:pPr>
        <w:spacing w:after="0"/>
      </w:pPr>
      <w:r>
        <w:continuationSeparator/>
      </w:r>
    </w:p>
  </w:footnote>
  <w:footnote w:type="continuationNotice" w:id="1">
    <w:p w:rsidR="0089764A" w:rsidRDefault="0089764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D9" w:rsidRDefault="002901D9" w:rsidP="00C12D77">
    <w:pPr>
      <w:spacing w:after="0"/>
      <w:ind w:left="4230"/>
      <w:jc w:val="right"/>
    </w:pPr>
    <w:r>
      <w:t>Title</w:t>
    </w:r>
  </w:p>
  <w:p w:rsidR="002901D9" w:rsidRDefault="002901D9" w:rsidP="00B3690F">
    <w:pPr>
      <w:spacing w:after="0"/>
      <w:ind w:left="6300"/>
      <w:jc w:val="right"/>
    </w:pPr>
    <w:r>
      <w:t xml:space="preserve">ABC/123 </w:t>
    </w:r>
    <w:proofErr w:type="spellStart"/>
    <w:r>
      <w:t>vX</w:t>
    </w:r>
    <w:proofErr w:type="spellEnd"/>
  </w:p>
  <w:p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D9" w:rsidRDefault="00DF2592" w:rsidP="00B9595A">
    <w:pPr>
      <w:pStyle w:val="Header"/>
      <w:jc w:val="right"/>
    </w:pPr>
    <w:r>
      <w:t>MTH/217</w:t>
    </w:r>
    <w:r w:rsidR="002901D9">
      <w:t xml:space="preserve"> v</w:t>
    </w:r>
    <w: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178C"/>
    <w:multiLevelType w:val="hybridMultilevel"/>
    <w:tmpl w:val="B43CFE4A"/>
    <w:lvl w:ilvl="0" w:tplc="5F3267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8C0D5F"/>
    <w:multiLevelType w:val="hybridMultilevel"/>
    <w:tmpl w:val="B6F66D86"/>
    <w:lvl w:ilvl="0" w:tplc="0F241BAA">
      <w:start w:val="1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63761BC"/>
    <w:multiLevelType w:val="hybridMultilevel"/>
    <w:tmpl w:val="65A83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709EE"/>
    <w:multiLevelType w:val="hybridMultilevel"/>
    <w:tmpl w:val="84A8AFFC"/>
    <w:lvl w:ilvl="0" w:tplc="BD8C2B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35D70F0"/>
    <w:multiLevelType w:val="hybridMultilevel"/>
    <w:tmpl w:val="672C6BA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0D322F"/>
    <w:multiLevelType w:val="hybridMultilevel"/>
    <w:tmpl w:val="C3285094"/>
    <w:lvl w:ilvl="0" w:tplc="9F30A5A2">
      <w:start w:val="1"/>
      <w:numFmt w:val="decimal"/>
      <w:lvlText w:val="%1."/>
      <w:lvlJc w:val="left"/>
      <w:pPr>
        <w:ind w:left="720" w:hanging="360"/>
      </w:pPr>
    </w:lvl>
    <w:lvl w:ilvl="1" w:tplc="C9FC68EC">
      <w:start w:val="1"/>
      <w:numFmt w:val="lowerLetter"/>
      <w:lvlText w:val="%2."/>
      <w:lvlJc w:val="left"/>
      <w:pPr>
        <w:ind w:left="1440" w:hanging="360"/>
      </w:pPr>
    </w:lvl>
    <w:lvl w:ilvl="2" w:tplc="952AEDD6">
      <w:start w:val="1"/>
      <w:numFmt w:val="lowerRoman"/>
      <w:lvlText w:val="%3."/>
      <w:lvlJc w:val="right"/>
      <w:pPr>
        <w:ind w:left="2160" w:hanging="180"/>
      </w:pPr>
    </w:lvl>
    <w:lvl w:ilvl="3" w:tplc="B24215D4">
      <w:start w:val="1"/>
      <w:numFmt w:val="decimal"/>
      <w:lvlText w:val="%4."/>
      <w:lvlJc w:val="left"/>
      <w:pPr>
        <w:ind w:left="2880" w:hanging="360"/>
      </w:pPr>
    </w:lvl>
    <w:lvl w:ilvl="4" w:tplc="BCDE04FA">
      <w:start w:val="9"/>
      <w:numFmt w:val="lowerLetter"/>
      <w:lvlText w:val="%5."/>
      <w:lvlJc w:val="left"/>
      <w:pPr>
        <w:ind w:left="3600" w:hanging="360"/>
      </w:pPr>
    </w:lvl>
    <w:lvl w:ilvl="5" w:tplc="31760D1C">
      <w:start w:val="1"/>
      <w:numFmt w:val="lowerRoman"/>
      <w:lvlText w:val="%6."/>
      <w:lvlJc w:val="right"/>
      <w:pPr>
        <w:ind w:left="4320" w:hanging="180"/>
      </w:pPr>
    </w:lvl>
    <w:lvl w:ilvl="6" w:tplc="5B3A5148">
      <w:start w:val="1"/>
      <w:numFmt w:val="decimal"/>
      <w:lvlText w:val="%7."/>
      <w:lvlJc w:val="left"/>
      <w:pPr>
        <w:ind w:left="5040" w:hanging="360"/>
      </w:pPr>
    </w:lvl>
    <w:lvl w:ilvl="7" w:tplc="9D960D76">
      <w:start w:val="1"/>
      <w:numFmt w:val="lowerLetter"/>
      <w:lvlText w:val="%8."/>
      <w:lvlJc w:val="left"/>
      <w:pPr>
        <w:ind w:left="5760" w:hanging="360"/>
      </w:pPr>
    </w:lvl>
    <w:lvl w:ilvl="8" w:tplc="E850DB7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611239"/>
    <w:multiLevelType w:val="hybridMultilevel"/>
    <w:tmpl w:val="A19C6466"/>
    <w:lvl w:ilvl="0" w:tplc="DE4A4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687C2">
      <w:start w:val="1"/>
      <w:numFmt w:val="bullet"/>
      <w:pStyle w:val="Bulleted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3" w15:restartNumberingAfterBreak="0">
    <w:nsid w:val="51A449BC"/>
    <w:multiLevelType w:val="hybridMultilevel"/>
    <w:tmpl w:val="E84A0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74745"/>
    <w:multiLevelType w:val="hybridMultilevel"/>
    <w:tmpl w:val="ACA22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E21F71"/>
    <w:multiLevelType w:val="hybridMultilevel"/>
    <w:tmpl w:val="C3E49B38"/>
    <w:lvl w:ilvl="0" w:tplc="4AC4A72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664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0628F"/>
    <w:multiLevelType w:val="hybridMultilevel"/>
    <w:tmpl w:val="A2308DA8"/>
    <w:lvl w:ilvl="0" w:tplc="6234D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10"/>
  </w:num>
  <w:num w:numId="4">
    <w:abstractNumId w:val="15"/>
  </w:num>
  <w:num w:numId="5">
    <w:abstractNumId w:val="19"/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"/>
  </w:num>
  <w:num w:numId="11">
    <w:abstractNumId w:val="16"/>
  </w:num>
  <w:num w:numId="12">
    <w:abstractNumId w:val="12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</w:num>
  <w:num w:numId="18">
    <w:abstractNumId w:val="8"/>
  </w:num>
  <w:num w:numId="19">
    <w:abstractNumId w:val="18"/>
  </w:num>
  <w:num w:numId="20">
    <w:abstractNumId w:val="5"/>
  </w:num>
  <w:num w:numId="21">
    <w:abstractNumId w:val="7"/>
  </w:num>
  <w:num w:numId="22">
    <w:abstractNumId w:val="3"/>
  </w:num>
  <w:num w:numId="23">
    <w:abstractNumId w:val="21"/>
  </w:num>
  <w:num w:numId="24">
    <w:abstractNumId w:val="9"/>
  </w:num>
  <w:num w:numId="25">
    <w:abstractNumId w:val="14"/>
  </w:num>
  <w:num w:numId="26">
    <w:abstractNumId w:val="13"/>
  </w:num>
  <w:num w:numId="27">
    <w:abstractNumId w:val="6"/>
  </w:num>
  <w:num w:numId="28">
    <w:abstractNumId w:val="4"/>
  </w:num>
  <w:num w:numId="29">
    <w:abstractNumId w:val="0"/>
  </w:num>
  <w:num w:numId="30">
    <w:abstractNumId w:val="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MqwFALLT06YtAAAA"/>
  </w:docVars>
  <w:rsids>
    <w:rsidRoot w:val="00B7574F"/>
    <w:rsid w:val="000156F1"/>
    <w:rsid w:val="00020A46"/>
    <w:rsid w:val="00034674"/>
    <w:rsid w:val="000361E6"/>
    <w:rsid w:val="00056EE5"/>
    <w:rsid w:val="000670D4"/>
    <w:rsid w:val="000C0803"/>
    <w:rsid w:val="000C2C6A"/>
    <w:rsid w:val="000D2169"/>
    <w:rsid w:val="000D2BB1"/>
    <w:rsid w:val="000E540D"/>
    <w:rsid w:val="000F0903"/>
    <w:rsid w:val="000F2F71"/>
    <w:rsid w:val="0013181E"/>
    <w:rsid w:val="001550E1"/>
    <w:rsid w:val="001567D5"/>
    <w:rsid w:val="001602BB"/>
    <w:rsid w:val="001A2683"/>
    <w:rsid w:val="001B1DF8"/>
    <w:rsid w:val="001B3D1D"/>
    <w:rsid w:val="001C098D"/>
    <w:rsid w:val="001C10AF"/>
    <w:rsid w:val="001D2A36"/>
    <w:rsid w:val="001F0CC9"/>
    <w:rsid w:val="00201214"/>
    <w:rsid w:val="00204DF4"/>
    <w:rsid w:val="00207997"/>
    <w:rsid w:val="00216720"/>
    <w:rsid w:val="00224434"/>
    <w:rsid w:val="00250EB0"/>
    <w:rsid w:val="00251361"/>
    <w:rsid w:val="002669FA"/>
    <w:rsid w:val="00270C10"/>
    <w:rsid w:val="0028228B"/>
    <w:rsid w:val="002901D9"/>
    <w:rsid w:val="002D1CDF"/>
    <w:rsid w:val="002D6885"/>
    <w:rsid w:val="002F3383"/>
    <w:rsid w:val="0031755A"/>
    <w:rsid w:val="0032766A"/>
    <w:rsid w:val="0033144D"/>
    <w:rsid w:val="00377506"/>
    <w:rsid w:val="0039139F"/>
    <w:rsid w:val="003A7FB9"/>
    <w:rsid w:val="003B5E99"/>
    <w:rsid w:val="003E5B14"/>
    <w:rsid w:val="003E73E8"/>
    <w:rsid w:val="00407843"/>
    <w:rsid w:val="00415B93"/>
    <w:rsid w:val="00427F4C"/>
    <w:rsid w:val="00431C1D"/>
    <w:rsid w:val="004500DE"/>
    <w:rsid w:val="00467B22"/>
    <w:rsid w:val="004F72D7"/>
    <w:rsid w:val="005002EC"/>
    <w:rsid w:val="00514AC3"/>
    <w:rsid w:val="00532293"/>
    <w:rsid w:val="00546A6C"/>
    <w:rsid w:val="005702EF"/>
    <w:rsid w:val="005A603E"/>
    <w:rsid w:val="005F5BC8"/>
    <w:rsid w:val="00654497"/>
    <w:rsid w:val="0066315B"/>
    <w:rsid w:val="0067319E"/>
    <w:rsid w:val="0067755F"/>
    <w:rsid w:val="00695175"/>
    <w:rsid w:val="006A6A5A"/>
    <w:rsid w:val="007042E2"/>
    <w:rsid w:val="00720181"/>
    <w:rsid w:val="00726E5E"/>
    <w:rsid w:val="00776416"/>
    <w:rsid w:val="00793EBF"/>
    <w:rsid w:val="007A0EAB"/>
    <w:rsid w:val="007A6D58"/>
    <w:rsid w:val="007B48E5"/>
    <w:rsid w:val="0080506F"/>
    <w:rsid w:val="00821BC0"/>
    <w:rsid w:val="00846E08"/>
    <w:rsid w:val="00853508"/>
    <w:rsid w:val="00892382"/>
    <w:rsid w:val="0089764A"/>
    <w:rsid w:val="008C786A"/>
    <w:rsid w:val="008D7D96"/>
    <w:rsid w:val="009115FC"/>
    <w:rsid w:val="00935086"/>
    <w:rsid w:val="00935F80"/>
    <w:rsid w:val="00944311"/>
    <w:rsid w:val="00971C52"/>
    <w:rsid w:val="00975184"/>
    <w:rsid w:val="0098520B"/>
    <w:rsid w:val="009B0A35"/>
    <w:rsid w:val="009C241D"/>
    <w:rsid w:val="009C48ED"/>
    <w:rsid w:val="009E0D9C"/>
    <w:rsid w:val="00A03896"/>
    <w:rsid w:val="00A058B7"/>
    <w:rsid w:val="00A06D23"/>
    <w:rsid w:val="00A14190"/>
    <w:rsid w:val="00A14B34"/>
    <w:rsid w:val="00A32474"/>
    <w:rsid w:val="00A621B0"/>
    <w:rsid w:val="00A70AE5"/>
    <w:rsid w:val="00A82E11"/>
    <w:rsid w:val="00AC0008"/>
    <w:rsid w:val="00B0187E"/>
    <w:rsid w:val="00B1207F"/>
    <w:rsid w:val="00B16250"/>
    <w:rsid w:val="00B30ACB"/>
    <w:rsid w:val="00B3325E"/>
    <w:rsid w:val="00B3690F"/>
    <w:rsid w:val="00B62FBE"/>
    <w:rsid w:val="00B7574F"/>
    <w:rsid w:val="00B804AB"/>
    <w:rsid w:val="00B9219C"/>
    <w:rsid w:val="00B9595A"/>
    <w:rsid w:val="00BD0B92"/>
    <w:rsid w:val="00BE6B1C"/>
    <w:rsid w:val="00C01B41"/>
    <w:rsid w:val="00C032FD"/>
    <w:rsid w:val="00C12D77"/>
    <w:rsid w:val="00C3136A"/>
    <w:rsid w:val="00C610B2"/>
    <w:rsid w:val="00C71B0A"/>
    <w:rsid w:val="00C815A4"/>
    <w:rsid w:val="00C95253"/>
    <w:rsid w:val="00CB42ED"/>
    <w:rsid w:val="00CB7E44"/>
    <w:rsid w:val="00CC6145"/>
    <w:rsid w:val="00CC7732"/>
    <w:rsid w:val="00CE5659"/>
    <w:rsid w:val="00D10F9D"/>
    <w:rsid w:val="00D13AD4"/>
    <w:rsid w:val="00D1552E"/>
    <w:rsid w:val="00D2123C"/>
    <w:rsid w:val="00D23571"/>
    <w:rsid w:val="00D4162A"/>
    <w:rsid w:val="00D46E6B"/>
    <w:rsid w:val="00D50BD2"/>
    <w:rsid w:val="00D60D26"/>
    <w:rsid w:val="00D646A7"/>
    <w:rsid w:val="00DA2EA0"/>
    <w:rsid w:val="00DD50EC"/>
    <w:rsid w:val="00DE1A94"/>
    <w:rsid w:val="00DF2592"/>
    <w:rsid w:val="00E22D25"/>
    <w:rsid w:val="00E25B97"/>
    <w:rsid w:val="00E35113"/>
    <w:rsid w:val="00E65CEA"/>
    <w:rsid w:val="00EA2454"/>
    <w:rsid w:val="00EB54ED"/>
    <w:rsid w:val="00EC0EB6"/>
    <w:rsid w:val="00ED01FB"/>
    <w:rsid w:val="00F43299"/>
    <w:rsid w:val="00F6334A"/>
    <w:rsid w:val="00F67D32"/>
    <w:rsid w:val="00F7576F"/>
    <w:rsid w:val="00F77604"/>
    <w:rsid w:val="00FA0629"/>
    <w:rsid w:val="00FA1C14"/>
    <w:rsid w:val="00FE6379"/>
    <w:rsid w:val="00FF2CFB"/>
    <w:rsid w:val="00FF6339"/>
    <w:rsid w:val="016EF546"/>
    <w:rsid w:val="06288C91"/>
    <w:rsid w:val="098838F8"/>
    <w:rsid w:val="09BB6307"/>
    <w:rsid w:val="14A81A7D"/>
    <w:rsid w:val="17072597"/>
    <w:rsid w:val="184C0106"/>
    <w:rsid w:val="1B841F7D"/>
    <w:rsid w:val="1D7873F2"/>
    <w:rsid w:val="1EEC4495"/>
    <w:rsid w:val="2105B8E7"/>
    <w:rsid w:val="21C71742"/>
    <w:rsid w:val="230CB48E"/>
    <w:rsid w:val="245F79D7"/>
    <w:rsid w:val="259746BC"/>
    <w:rsid w:val="26788116"/>
    <w:rsid w:val="2D82D7AF"/>
    <w:rsid w:val="3169AD0F"/>
    <w:rsid w:val="3251E61D"/>
    <w:rsid w:val="33AB50BE"/>
    <w:rsid w:val="352CDC95"/>
    <w:rsid w:val="362CE91F"/>
    <w:rsid w:val="3A3594BE"/>
    <w:rsid w:val="3A977CEC"/>
    <w:rsid w:val="3E2F307C"/>
    <w:rsid w:val="44E710C5"/>
    <w:rsid w:val="49484EAB"/>
    <w:rsid w:val="4C8B506E"/>
    <w:rsid w:val="53F93951"/>
    <w:rsid w:val="5B2BD6D7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6EC76082-920F-4F60-A37D-0C6ABFA0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6"/>
      </w:numPr>
      <w:tabs>
        <w:tab w:val="num" w:pos="360"/>
      </w:tabs>
      <w:spacing w:before="60" w:after="6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32766A"/>
    <w:rPr>
      <w:rFonts w:ascii="Arial" w:hAnsi="Arial"/>
      <w:color w:val="4D3733" w:themeColor="background1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2766A"/>
    <w:pPr>
      <w:numPr>
        <w:numId w:val="1"/>
      </w:numPr>
      <w:spacing w:after="0"/>
      <w:ind w:left="360"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20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1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20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20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20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20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Bulletedlist2">
    <w:name w:val="Bulleted list 2"/>
    <w:basedOn w:val="ListParagraph"/>
    <w:link w:val="Bulletedlist2Char"/>
    <w:qFormat/>
    <w:rsid w:val="0032766A"/>
    <w:pPr>
      <w:numPr>
        <w:ilvl w:val="1"/>
        <w:numId w:val="31"/>
      </w:numPr>
      <w:ind w:left="720"/>
    </w:pPr>
  </w:style>
  <w:style w:type="character" w:customStyle="1" w:styleId="Bulletedlist2Char">
    <w:name w:val="Bulleted list 2 Char"/>
    <w:basedOn w:val="ListParagraphChar"/>
    <w:link w:val="Bulletedlist2"/>
    <w:rsid w:val="0032766A"/>
    <w:rPr>
      <w:rFonts w:ascii="Arial" w:hAnsi="Arial"/>
      <w:color w:val="4D3733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55E5B858-7D00-49EA-80AF-9A90EC021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351</Words>
  <Characters>2004</Characters>
  <Application>Microsoft Office Word</Application>
  <DocSecurity>0</DocSecurity>
  <Lines>16</Lines>
  <Paragraphs>4</Paragraphs>
  <ScaleCrop>false</ScaleCrop>
  <Company>Apollo Group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Microsoft</dc:creator>
  <cp:keywords/>
  <dc:description/>
  <cp:lastModifiedBy>Microsoft</cp:lastModifiedBy>
  <cp:revision>13</cp:revision>
  <dcterms:created xsi:type="dcterms:W3CDTF">2020-10-23T07:30:00Z</dcterms:created>
  <dcterms:modified xsi:type="dcterms:W3CDTF">2020-10-23T08:22:00Z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  <property fmtid="{D5CDD505-2E9C-101B-9397-08002B2CF9AE}" pid="4" name="Order">
    <vt:r8>22554800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